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5D78A">
      <w:pPr>
        <w:spacing w:before="312" w:beforeLines="100" w:after="156" w:afterLines="50"/>
        <w:ind w:right="278"/>
        <w:jc w:val="center"/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中国社会科学院大学经济学院</w:t>
      </w: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主文献目录</w:t>
      </w:r>
    </w:p>
    <w:p w14:paraId="608EE276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2024修订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E05B289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国民经济学</w:t>
      </w:r>
      <w:bookmarkStart w:id="0" w:name="_GoBack"/>
      <w:bookmarkEnd w:id="0"/>
    </w:p>
    <w:p w14:paraId="22E08FFE">
      <w:pPr>
        <w:numPr>
          <w:ilvl w:val="0"/>
          <w:numId w:val="1"/>
        </w:num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学术论文篇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7"/>
        <w:gridCol w:w="1904"/>
        <w:gridCol w:w="2671"/>
      </w:tblGrid>
      <w:tr w14:paraId="4367C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5" w:type="pct"/>
            <w:shd w:val="clear" w:color="auto" w:fill="auto"/>
            <w:vAlign w:val="center"/>
          </w:tcPr>
          <w:p w14:paraId="4BEF48FA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文章标题</w:t>
            </w:r>
          </w:p>
        </w:tc>
        <w:tc>
          <w:tcPr>
            <w:tcW w:w="1117" w:type="pct"/>
            <w:shd w:val="clear" w:color="auto" w:fill="auto"/>
            <w:vAlign w:val="center"/>
          </w:tcPr>
          <w:p w14:paraId="403F4BD7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567" w:type="pct"/>
            <w:shd w:val="clear" w:color="auto" w:fill="auto"/>
            <w:vAlign w:val="center"/>
          </w:tcPr>
          <w:p w14:paraId="68E202F9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刊登期刊</w:t>
            </w:r>
          </w:p>
        </w:tc>
      </w:tr>
      <w:tr w14:paraId="28337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5" w:type="pct"/>
            <w:vAlign w:val="center"/>
          </w:tcPr>
          <w:p w14:paraId="31B7CBB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"https://kns.cnki.net/kcms2/article/abstract?v=OJyTKzW6FepHJGBUYyVmXzpzua1UYARmmrJLdvQEHg13uNDLNIrARAXsChOHTluf9rLiikHiQhf8MpN-zR03gSkRdQC0bTwBkNNpKPzPch-5bZFNm1CJHwEu3vljJYFcFwfirgoLES6tfgQe9cISjFL2-Xweoodsq3bAFWot5de-wxMjT_MrgCzaM0xvUpy3&amp;uniplatform=NZKPT"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金融发展与共同富裕：一个研究框架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</w:p>
        </w:tc>
        <w:tc>
          <w:tcPr>
            <w:tcW w:w="1117" w:type="pct"/>
            <w:vAlign w:val="center"/>
          </w:tcPr>
          <w:p w14:paraId="176ED51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张晓晶</w:t>
            </w:r>
          </w:p>
        </w:tc>
        <w:tc>
          <w:tcPr>
            <w:tcW w:w="1567" w:type="pct"/>
            <w:vAlign w:val="center"/>
          </w:tcPr>
          <w:p w14:paraId="516153B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《经济学动态》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2021年第12期</w:t>
            </w:r>
          </w:p>
        </w:tc>
      </w:tr>
      <w:tr w14:paraId="47EA9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5" w:type="pct"/>
            <w:vAlign w:val="center"/>
          </w:tcPr>
          <w:p w14:paraId="478D1EE6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"https://kns.cnki.net/kcms2/article/abstract?v=OJyTKzW6FeqmtOru9oUD68RTBllxQnSsHRiuZDSGA9Dlu4dKOikXJotockV6go0Hd4KwXn4LuJHTi-ySm-4hoC0pWAb6DQ9D1AFGlnK8TmsITQSnemZ94XycXXc06NKlW5crQp6m_LVI0CnD3gfCssIXtNUD3iZsK4P0Urp2ntDSSaNTjILdDhSSREvQy0mt&amp;uniplatform=NZKPT"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中国财政可持续性分析：研究框架与综合判断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</w:p>
        </w:tc>
        <w:tc>
          <w:tcPr>
            <w:tcW w:w="1117" w:type="pct"/>
            <w:vAlign w:val="center"/>
          </w:tcPr>
          <w:p w14:paraId="1439657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吕冰洋、曾傅雯、涂海洋</w:t>
            </w:r>
          </w:p>
        </w:tc>
        <w:tc>
          <w:tcPr>
            <w:tcW w:w="1567" w:type="pct"/>
            <w:vAlign w:val="center"/>
          </w:tcPr>
          <w:p w14:paraId="60F2159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《管理世界》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2024年</w:t>
            </w:r>
          </w:p>
          <w:p w14:paraId="66417B4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第1期</w:t>
            </w:r>
          </w:p>
        </w:tc>
      </w:tr>
      <w:tr w14:paraId="46909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2315" w:type="pct"/>
            <w:vAlign w:val="center"/>
          </w:tcPr>
          <w:p w14:paraId="405020B1">
            <w:pPr>
              <w:spacing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</w:rPr>
              <w:t>Capital Accumulation, Private Property, and Rising</w:t>
            </w: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Batang" w:cs="Times New Roman"/>
                <w:sz w:val="24"/>
                <w:szCs w:val="24"/>
              </w:rPr>
              <w:t>Inequality in China, 1978–2015</w:t>
            </w:r>
          </w:p>
        </w:tc>
        <w:tc>
          <w:tcPr>
            <w:tcW w:w="1117" w:type="pct"/>
            <w:vAlign w:val="center"/>
          </w:tcPr>
          <w:p w14:paraId="4F3D64B2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Piketty等</w:t>
            </w:r>
          </w:p>
        </w:tc>
        <w:tc>
          <w:tcPr>
            <w:tcW w:w="1567" w:type="pct"/>
            <w:vAlign w:val="center"/>
          </w:tcPr>
          <w:p w14:paraId="1CC01C3F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AMERICAN ECONOMIC REVIEW</w:t>
            </w:r>
          </w:p>
          <w:p w14:paraId="7D6FBB13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VOL. 109, NO. 7, JULY 2019(pp. 2469–96)</w:t>
            </w:r>
          </w:p>
        </w:tc>
      </w:tr>
      <w:tr w14:paraId="477A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2315" w:type="pct"/>
            <w:vAlign w:val="center"/>
          </w:tcPr>
          <w:p w14:paraId="5F35E39A">
            <w:pPr>
              <w:spacing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</w:rPr>
              <w:t>Global Financial Cycles and Risk Premiums</w:t>
            </w:r>
          </w:p>
        </w:tc>
        <w:tc>
          <w:tcPr>
            <w:tcW w:w="1117" w:type="pct"/>
            <w:vAlign w:val="center"/>
          </w:tcPr>
          <w:p w14:paraId="546085A1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Jorda等</w:t>
            </w:r>
          </w:p>
        </w:tc>
        <w:tc>
          <w:tcPr>
            <w:tcW w:w="1567" w:type="pct"/>
            <w:vAlign w:val="center"/>
          </w:tcPr>
          <w:p w14:paraId="612D6A38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IMF Economic Review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Volume 67, pages 109–150, (2019)</w:t>
            </w:r>
          </w:p>
        </w:tc>
      </w:tr>
      <w:tr w14:paraId="7AA8C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2315" w:type="pct"/>
            <w:vAlign w:val="center"/>
          </w:tcPr>
          <w:p w14:paraId="1DD38B38">
            <w:pPr>
              <w:spacing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</w:rPr>
              <w:t>The effects of a money-financed fiscal</w:t>
            </w: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Batang" w:cs="Times New Roman"/>
                <w:sz w:val="24"/>
                <w:szCs w:val="24"/>
              </w:rPr>
              <w:t>stimulus</w:t>
            </w:r>
          </w:p>
        </w:tc>
        <w:tc>
          <w:tcPr>
            <w:tcW w:w="1117" w:type="pct"/>
            <w:vAlign w:val="center"/>
          </w:tcPr>
          <w:p w14:paraId="3CA6E928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Galí, J.</w:t>
            </w:r>
          </w:p>
        </w:tc>
        <w:tc>
          <w:tcPr>
            <w:tcW w:w="1567" w:type="pct"/>
            <w:vAlign w:val="center"/>
          </w:tcPr>
          <w:p w14:paraId="7CAB0F93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Journal of Monetary Economics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instrText xml:space="preserve"> HYPERLINK "https://www.sciencedirect.com/journal/journal-of-monetary-economics/vol/115/suppl/C" \o "Go to table of contents for this volume/issue" </w:instrTex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Volume 115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fldChar w:fldCharType="end"/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, November 2020, Pages 1-19</w:t>
            </w:r>
          </w:p>
        </w:tc>
      </w:tr>
    </w:tbl>
    <w:p w14:paraId="7965D862">
      <w:pPr>
        <w:numPr>
          <w:ilvl w:val="0"/>
          <w:numId w:val="0"/>
        </w:numPr>
        <w:spacing w:before="312" w:beforeLines="100" w:after="156" w:afterLines="50"/>
        <w:ind w:right="278" w:rightChars="0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74A2704A">
      <w:pP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340572C4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二、专著篇</w:t>
      </w:r>
    </w:p>
    <w:tbl>
      <w:tblPr>
        <w:tblStyle w:val="3"/>
        <w:tblW w:w="85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1"/>
        <w:gridCol w:w="2208"/>
        <w:gridCol w:w="1932"/>
        <w:gridCol w:w="1830"/>
      </w:tblGrid>
      <w:tr w14:paraId="647FC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  <w:shd w:val="clear" w:color="auto" w:fill="auto"/>
            <w:vAlign w:val="center"/>
          </w:tcPr>
          <w:p w14:paraId="635DD1BD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书名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7DCE3D1B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493DE6A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出版社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BA1DF79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ISBN号</w:t>
            </w:r>
          </w:p>
        </w:tc>
      </w:tr>
      <w:tr w14:paraId="7D20A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2611" w:type="dxa"/>
            <w:shd w:val="clear" w:color="auto" w:fill="auto"/>
            <w:vAlign w:val="center"/>
          </w:tcPr>
          <w:p w14:paraId="2A07AD9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经济政策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理论与实践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0B74AC9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(法)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 xml:space="preserve"> 阿格尼丝·贝纳西·奎里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62C20D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中国人民大学出版社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9E749BB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9787300219219</w:t>
            </w:r>
          </w:p>
        </w:tc>
      </w:tr>
      <w:tr w14:paraId="783F4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611" w:type="dxa"/>
            <w:shd w:val="clear" w:color="auto" w:fill="auto"/>
            <w:vAlign w:val="center"/>
          </w:tcPr>
          <w:p w14:paraId="637B5DF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二十一世纪资本论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41AEFEC6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(法)托马斯·皮凯蒂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74CD79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中信出版集团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7E61E70">
            <w:pPr>
              <w:jc w:val="center"/>
              <w:rPr>
                <w:rFonts w:hint="default" w:ascii="Times New Roman" w:hAnsi="Times New Roman" w:eastAsia="方正仿宋_GB2312" w:cs="Times New Roman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9787508647258</w:t>
            </w:r>
          </w:p>
        </w:tc>
      </w:tr>
      <w:tr w14:paraId="185B6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2611" w:type="dxa"/>
            <w:shd w:val="clear" w:color="auto" w:fill="auto"/>
            <w:vAlign w:val="center"/>
          </w:tcPr>
          <w:p w14:paraId="08D58EF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中国国家资产负债表2020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2051626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李扬等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A269A9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中国社会科学出版社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9DA3889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9787520376273</w:t>
            </w:r>
          </w:p>
        </w:tc>
      </w:tr>
      <w:tr w14:paraId="34FDB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611" w:type="dxa"/>
            <w:shd w:val="clear" w:color="auto" w:fill="auto"/>
            <w:vAlign w:val="center"/>
          </w:tcPr>
          <w:p w14:paraId="604D955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中国经济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适应与增长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0173A9A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(美)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巴里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·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诺顿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54B55EA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上海人民出版社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EEB177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9787208159402</w:t>
            </w:r>
          </w:p>
        </w:tc>
      </w:tr>
      <w:tr w14:paraId="2F0D5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2611" w:type="dxa"/>
            <w:shd w:val="clear" w:color="auto" w:fill="auto"/>
            <w:vAlign w:val="center"/>
          </w:tcPr>
          <w:p w14:paraId="0641010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债居时代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4DCB41A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(美)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"https://book.douban.com/search/%E9%98%BF%E8%92%82%E5%A4%AB%C2%B7%E8%BF%88%E6%81%A9"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阿蒂夫·迈恩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30A5B2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中信出版社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23CED2B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9787521726992</w:t>
            </w:r>
          </w:p>
        </w:tc>
      </w:tr>
    </w:tbl>
    <w:p w14:paraId="617DDC9A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1FE3C3-5758-4399-AFD8-BBFA6BB4C53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2" w:fontKey="{08889973-CF2C-436A-878A-B8492FC3EF7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CC32862D-6953-414B-BDE5-C605ED4DA08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019E3E8-1A0E-4FA5-A275-013D93F3D97B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  <w:embedRegular r:id="rId5" w:fontKey="{85C4AA86-4822-40D8-85C5-DF464773AC7D}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汉仪中等线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ll MT">
    <w:panose1 w:val="02020503060305020303"/>
    <w:charset w:val="00"/>
    <w:family w:val="auto"/>
    <w:pitch w:val="default"/>
    <w:sig w:usb0="00000003" w:usb1="00000000" w:usb2="00000000" w:usb3="00000000" w:csb0="20000001" w:csb1="00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Bodoni MT">
    <w:panose1 w:val="02070603080606020203"/>
    <w:charset w:val="00"/>
    <w:family w:val="auto"/>
    <w:pitch w:val="default"/>
    <w:sig w:usb0="00000003" w:usb1="00000000" w:usb2="00000000" w:usb3="00000000" w:csb0="2000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1938F8"/>
    <w:multiLevelType w:val="singleLevel"/>
    <w:tmpl w:val="2D1938F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jNTUxY2ZmZjViMDFlNTVjZDI4NTVkZjlmM2Y2MWQifQ=="/>
  </w:docVars>
  <w:rsids>
    <w:rsidRoot w:val="00000000"/>
    <w:rsid w:val="10CC68FE"/>
    <w:rsid w:val="10F35DE6"/>
    <w:rsid w:val="13FF451E"/>
    <w:rsid w:val="197B29B4"/>
    <w:rsid w:val="2CEE7A7A"/>
    <w:rsid w:val="41672CA1"/>
    <w:rsid w:val="52D51318"/>
    <w:rsid w:val="64E00FC3"/>
    <w:rsid w:val="7084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469</Characters>
  <Lines>0</Lines>
  <Paragraphs>0</Paragraphs>
  <TotalTime>23</TotalTime>
  <ScaleCrop>false</ScaleCrop>
  <LinksUpToDate>false</LinksUpToDate>
  <CharactersWithSpaces>505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2024-11-04T07:17:00Z</dcterms:created>
  <dc:creator>jjsg</dc:creator>
  <cp:lastModifiedBy>张宇</cp:lastModifiedBy>
  <dcterms:modified xsi:type="dcterms:W3CDTF">2024-11-04T07:57:44Z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B7E3671EE28D4280907878127516BD10_12</vt:lpwstr>
  </property>
</Properties>
</file>